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snapToGrid w:val="0"/>
        <w:spacing w:line="628" w:lineRule="exact"/>
        <w:jc w:val="right"/>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kern w:val="0"/>
          <w:sz w:val="28"/>
          <w:szCs w:val="28"/>
          <w:lang w:val="en-US" w:eastAsia="zh-CN"/>
        </w:rPr>
        <w:t xml:space="preserve">                              征求意见</w:t>
      </w:r>
      <w:r>
        <w:rPr>
          <w:rFonts w:hint="eastAsia" w:ascii="黑体" w:hAnsi="黑体" w:eastAsia="黑体" w:cs="黑体"/>
          <w:b w:val="0"/>
          <w:bCs w:val="0"/>
          <w:color w:val="auto"/>
          <w:kern w:val="0"/>
          <w:sz w:val="28"/>
          <w:szCs w:val="28"/>
          <w:lang w:eastAsia="zh-CN"/>
        </w:rPr>
        <w:t>稿</w:t>
      </w:r>
    </w:p>
    <w:p>
      <w:pPr>
        <w:keepNext w:val="0"/>
        <w:keepLines w:val="0"/>
        <w:pageBreakBefore w:val="0"/>
        <w:widowControl w:val="0"/>
        <w:kinsoku/>
        <w:wordWrap/>
        <w:overflowPunct/>
        <w:topLinePunct w:val="0"/>
        <w:autoSpaceDE/>
        <w:autoSpaceDN/>
        <w:bidi w:val="0"/>
        <w:spacing w:before="156" w:beforeLines="50" w:after="156" w:afterLines="50" w:line="628" w:lineRule="exact"/>
        <w:ind w:left="0" w:leftChars="0" w:right="0" w:rightChars="0"/>
        <w:jc w:val="both"/>
        <w:textAlignment w:val="auto"/>
        <w:outlineLvl w:val="9"/>
        <w:rPr>
          <w:rFonts w:hint="eastAsia" w:ascii="宋体" w:hAnsi="宋体" w:eastAsia="宋体"/>
          <w:b/>
          <w:bCs/>
          <w:sz w:val="44"/>
          <w:szCs w:val="44"/>
        </w:rPr>
      </w:pPr>
    </w:p>
    <w:p>
      <w:pPr>
        <w:keepNext w:val="0"/>
        <w:keepLines w:val="0"/>
        <w:pageBreakBefore w:val="0"/>
        <w:widowControl w:val="0"/>
        <w:kinsoku/>
        <w:wordWrap/>
        <w:overflowPunct/>
        <w:topLinePunct w:val="0"/>
        <w:autoSpaceDE/>
        <w:autoSpaceDN/>
        <w:bidi w:val="0"/>
        <w:spacing w:before="156" w:beforeLines="50" w:after="156" w:afterLines="50" w:line="628"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rPr>
        <w:t>山西省县域医疗卫生一</w:t>
      </w:r>
      <w:bookmarkStart w:id="0" w:name="_GoBack"/>
      <w:bookmarkEnd w:id="0"/>
      <w:r>
        <w:rPr>
          <w:rFonts w:hint="eastAsia" w:ascii="方正小标宋简体" w:hAnsi="方正小标宋简体" w:eastAsia="方正小标宋简体" w:cs="方正小标宋简体"/>
          <w:b w:val="0"/>
          <w:bCs w:val="0"/>
          <w:sz w:val="44"/>
          <w:szCs w:val="44"/>
        </w:rPr>
        <w:t>体化</w:t>
      </w:r>
      <w:r>
        <w:rPr>
          <w:rFonts w:hint="eastAsia" w:ascii="方正小标宋简体" w:hAnsi="方正小标宋简体" w:eastAsia="方正小标宋简体" w:cs="方正小标宋简体"/>
          <w:b w:val="0"/>
          <w:bCs w:val="0"/>
          <w:sz w:val="44"/>
          <w:szCs w:val="44"/>
          <w:lang w:eastAsia="zh-CN"/>
        </w:rPr>
        <w:t>促进</w:t>
      </w:r>
      <w:r>
        <w:rPr>
          <w:rFonts w:hint="eastAsia" w:ascii="方正小标宋简体" w:hAnsi="方正小标宋简体" w:eastAsia="方正小标宋简体" w:cs="方正小标宋简体"/>
          <w:b w:val="0"/>
          <w:bCs w:val="0"/>
          <w:sz w:val="44"/>
          <w:szCs w:val="44"/>
          <w:lang w:val="en-US" w:eastAsia="zh-CN"/>
        </w:rPr>
        <w:t>办法</w:t>
      </w:r>
    </w:p>
    <w:p>
      <w:pPr>
        <w:keepNext w:val="0"/>
        <w:keepLines w:val="0"/>
        <w:pageBreakBefore w:val="0"/>
        <w:widowControl w:val="0"/>
        <w:kinsoku/>
        <w:wordWrap/>
        <w:overflowPunct/>
        <w:topLinePunct w:val="0"/>
        <w:autoSpaceDE/>
        <w:autoSpaceDN/>
        <w:bidi w:val="0"/>
        <w:spacing w:before="156" w:beforeLines="50" w:after="156" w:afterLines="50" w:line="628"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草案</w:t>
      </w:r>
      <w:r>
        <w:rPr>
          <w:rFonts w:hint="eastAsia" w:ascii="方正小标宋简体" w:hAnsi="方正小标宋简体" w:eastAsia="方正小标宋简体" w:cs="方正小标宋简体"/>
          <w:b w:val="0"/>
          <w:bCs w:val="0"/>
          <w:sz w:val="44"/>
          <w:szCs w:val="44"/>
        </w:rPr>
        <w:t>）</w:t>
      </w:r>
    </w:p>
    <w:p>
      <w:pPr>
        <w:keepNext w:val="0"/>
        <w:keepLines w:val="0"/>
        <w:pageBreakBefore w:val="0"/>
        <w:widowControl w:val="0"/>
        <w:kinsoku/>
        <w:wordWrap/>
        <w:overflowPunct/>
        <w:topLinePunct w:val="0"/>
        <w:autoSpaceDE/>
        <w:autoSpaceDN/>
        <w:bidi w:val="0"/>
        <w:adjustRightInd/>
        <w:snapToGrid/>
        <w:spacing w:before="303" w:beforeLines="50" w:after="303" w:afterLines="50" w:line="628" w:lineRule="exact"/>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（2020年</w:t>
      </w:r>
      <w:r>
        <w:rPr>
          <w:rFonts w:hint="eastAsia" w:ascii="楷体" w:hAnsi="楷体" w:eastAsia="楷体" w:cs="楷体"/>
          <w:sz w:val="32"/>
          <w:szCs w:val="32"/>
          <w:lang w:val="en-US" w:eastAsia="zh-CN"/>
        </w:rPr>
        <w:t>11</w:t>
      </w:r>
      <w:r>
        <w:rPr>
          <w:rFonts w:hint="eastAsia" w:ascii="楷体" w:hAnsi="楷体" w:eastAsia="楷体" w:cs="楷体"/>
          <w:sz w:val="32"/>
          <w:szCs w:val="32"/>
        </w:rPr>
        <w:t>月  日山西省第十三届人民代表大会</w:t>
      </w:r>
      <w:r>
        <w:rPr>
          <w:rFonts w:hint="eastAsia" w:ascii="楷体" w:hAnsi="楷体" w:eastAsia="楷体" w:cs="楷体"/>
          <w:sz w:val="32"/>
          <w:szCs w:val="32"/>
        </w:rPr>
        <w:br w:type="textWrapping"/>
      </w:r>
      <w:r>
        <w:rPr>
          <w:rFonts w:hint="eastAsia" w:ascii="楷体" w:hAnsi="楷体" w:eastAsia="楷体" w:cs="楷体"/>
          <w:sz w:val="32"/>
          <w:szCs w:val="32"/>
        </w:rPr>
        <w:t>常务委员会第二十</w:t>
      </w:r>
      <w:r>
        <w:rPr>
          <w:rFonts w:hint="eastAsia" w:ascii="楷体" w:hAnsi="楷体" w:eastAsia="楷体" w:cs="楷体"/>
          <w:sz w:val="32"/>
          <w:szCs w:val="32"/>
          <w:lang w:val="en-US" w:eastAsia="zh-CN"/>
        </w:rPr>
        <w:t>一</w:t>
      </w:r>
      <w:r>
        <w:rPr>
          <w:rFonts w:hint="eastAsia" w:ascii="楷体" w:hAnsi="楷体" w:eastAsia="楷体" w:cs="楷体"/>
          <w:sz w:val="32"/>
          <w:szCs w:val="32"/>
        </w:rPr>
        <w:t>次会议通过）</w:t>
      </w:r>
    </w:p>
    <w:p>
      <w:pPr>
        <w:keepNext w:val="0"/>
        <w:keepLines w:val="0"/>
        <w:pageBreakBefore w:val="0"/>
        <w:widowControl w:val="0"/>
        <w:kinsoku/>
        <w:wordWrap/>
        <w:overflowPunct/>
        <w:topLinePunct w:val="0"/>
        <w:autoSpaceDE/>
        <w:autoSpaceDN/>
        <w:bidi w:val="0"/>
        <w:adjustRightInd/>
        <w:snapToGrid/>
        <w:spacing w:before="303" w:beforeLines="50" w:after="303" w:afterLines="50" w:line="628" w:lineRule="exact"/>
        <w:ind w:left="0" w:leftChars="0" w:right="0" w:rightChars="0"/>
        <w:jc w:val="center"/>
        <w:textAlignment w:val="auto"/>
        <w:outlineLvl w:val="9"/>
        <w:rPr>
          <w:rFonts w:hAnsi="仿宋" w:eastAsia="黑体"/>
          <w:sz w:val="32"/>
          <w:szCs w:val="32"/>
        </w:rPr>
      </w:pPr>
      <w:r>
        <w:rPr>
          <w:rFonts w:hAnsi="仿宋" w:eastAsia="黑体"/>
          <w:sz w:val="32"/>
          <w:szCs w:val="32"/>
        </w:rPr>
        <w:t>第一章</w:t>
      </w:r>
      <w:r>
        <w:rPr>
          <w:rFonts w:eastAsia="黑体"/>
          <w:sz w:val="32"/>
          <w:szCs w:val="32"/>
        </w:rPr>
        <w:t xml:space="preserve">  </w:t>
      </w:r>
      <w:r>
        <w:rPr>
          <w:rFonts w:hAnsi="仿宋" w:eastAsia="黑体"/>
          <w:sz w:val="32"/>
          <w:szCs w:val="32"/>
        </w:rPr>
        <w:t>总</w:t>
      </w:r>
      <w:r>
        <w:rPr>
          <w:rFonts w:hint="eastAsia" w:hAnsi="仿宋" w:eastAsia="黑体"/>
          <w:sz w:val="32"/>
          <w:szCs w:val="32"/>
          <w:lang w:val="en-US" w:eastAsia="zh-CN"/>
        </w:rPr>
        <w:t xml:space="preserve">  </w:t>
      </w:r>
      <w:r>
        <w:rPr>
          <w:rFonts w:hAnsi="仿宋" w:eastAsia="黑体"/>
          <w:sz w:val="32"/>
          <w:szCs w:val="32"/>
        </w:rPr>
        <w:t>则</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hAnsi="仿宋" w:eastAsia="仿宋"/>
          <w:sz w:val="32"/>
          <w:szCs w:val="32"/>
          <w:lang w:val="en-US" w:eastAsia="zh-CN"/>
        </w:rPr>
      </w:pPr>
      <w:r>
        <w:rPr>
          <w:rFonts w:hAnsi="仿宋" w:eastAsia="黑体"/>
          <w:sz w:val="32"/>
          <w:szCs w:val="32"/>
        </w:rPr>
        <w:t>第一条</w:t>
      </w:r>
      <w:r>
        <w:rPr>
          <w:rFonts w:eastAsia="黑体"/>
          <w:sz w:val="32"/>
          <w:szCs w:val="32"/>
        </w:rPr>
        <w:t xml:space="preserve">  </w:t>
      </w:r>
      <w:r>
        <w:rPr>
          <w:rFonts w:hint="eastAsia" w:ascii="仿宋_GB2312" w:hAnsi="仿宋_GB2312" w:eastAsia="仿宋_GB2312" w:cs="仿宋_GB2312"/>
          <w:sz w:val="32"/>
          <w:szCs w:val="32"/>
          <w:lang w:val="en-US" w:eastAsia="zh-CN"/>
        </w:rPr>
        <w:t>为了促进县域医疗卫生一体化改革，提升县域医疗卫生服务能力，优化县域医疗卫生资源配置和使用，建立分级诊疗制度，满足基层群众就医需求，依据有关法律、行政法规，结合本省实际，制定本办法。</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Ansi="仿宋"/>
          <w:sz w:val="32"/>
          <w:szCs w:val="32"/>
        </w:rPr>
      </w:pPr>
      <w:r>
        <w:rPr>
          <w:rFonts w:hAnsi="仿宋" w:eastAsia="黑体"/>
          <w:sz w:val="32"/>
          <w:szCs w:val="32"/>
        </w:rPr>
        <w:t>第二条</w:t>
      </w:r>
      <w:r>
        <w:rPr>
          <w:rFonts w:eastAsia="黑体"/>
          <w:sz w:val="32"/>
          <w:szCs w:val="32"/>
        </w:rPr>
        <w:t xml:space="preserve">  </w:t>
      </w:r>
      <w:r>
        <w:rPr>
          <w:rFonts w:hint="eastAsia" w:ascii="仿宋_GB2312" w:hAnsi="仿宋_GB2312" w:eastAsia="仿宋_GB2312" w:cs="仿宋_GB2312"/>
          <w:sz w:val="32"/>
          <w:szCs w:val="32"/>
          <w:lang w:val="en-US" w:eastAsia="zh-CN"/>
        </w:rPr>
        <w:t>本省县域医疗卫生一体化过程中的整合优化、服务提升、支持保障、监督管理等活动，适用本办法。</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第三条</w:t>
      </w:r>
      <w:r>
        <w:rPr>
          <w:rFonts w:eastAsia="黑体"/>
          <w:sz w:val="32"/>
          <w:szCs w:val="32"/>
        </w:rPr>
        <w:t xml:space="preserve">  </w:t>
      </w:r>
      <w:r>
        <w:rPr>
          <w:rFonts w:hint="eastAsia" w:ascii="仿宋_GB2312" w:hAnsi="仿宋_GB2312" w:eastAsia="仿宋_GB2312" w:cs="仿宋_GB2312"/>
          <w:sz w:val="32"/>
          <w:szCs w:val="32"/>
          <w:lang w:val="en-US" w:eastAsia="zh-CN"/>
        </w:rPr>
        <w:t>县域医疗卫生一体化应当坚持以人民为中心，坚持新时期卫生与健康工作方针，遵循政府主导、部门协同、三医联动、因地制宜和公益性原则。</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第四条</w:t>
      </w:r>
      <w:r>
        <w:rPr>
          <w:rFonts w:eastAsia="黑体"/>
          <w:sz w:val="32"/>
          <w:szCs w:val="32"/>
        </w:rPr>
        <w:t xml:space="preserve">  </w:t>
      </w:r>
      <w:r>
        <w:rPr>
          <w:rFonts w:hint="eastAsia" w:ascii="仿宋_GB2312" w:hAnsi="仿宋_GB2312" w:eastAsia="仿宋_GB2312" w:cs="仿宋_GB2312"/>
          <w:sz w:val="32"/>
          <w:szCs w:val="32"/>
          <w:lang w:val="en-US" w:eastAsia="zh-CN"/>
        </w:rPr>
        <w:t>省、设区的市人民政府应当加强对县域医疗卫生一体化的组织领导，建立健全议事协调机制，研究解决县域医疗卫生一体化中的重大问题。</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省、设区的市人民政府卫生健康主管部门负责指导、协调、推进县域医疗卫生一体化工作。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省、设区的市人民政府相关部门按照各自职责，做好县域医疗卫生一体化的有关工作。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第五条</w:t>
      </w:r>
      <w:r>
        <w:rPr>
          <w:rFonts w:hint="eastAsia" w:hAnsi="仿宋" w:eastAsia="黑体"/>
          <w:sz w:val="32"/>
          <w:szCs w:val="32"/>
          <w:lang w:val="en-US" w:eastAsia="zh-CN"/>
        </w:rPr>
        <w:t xml:space="preserve">  </w:t>
      </w:r>
      <w:r>
        <w:rPr>
          <w:rFonts w:hint="eastAsia" w:ascii="仿宋_GB2312" w:hAnsi="仿宋_GB2312" w:eastAsia="仿宋_GB2312" w:cs="仿宋_GB2312"/>
          <w:sz w:val="32"/>
          <w:szCs w:val="32"/>
          <w:lang w:val="en-US" w:eastAsia="zh-CN"/>
        </w:rPr>
        <w:t>县（市、区）人民政府负责对县域医疗卫生一体化的领导、管理、保障和监督，建立县域医疗卫生一体化的指导、督查、考核机制。</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六</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县级以上人民政府及其有关部门对在县域医疗卫生一体化中做出突出贡献的单位和个人，按照国家有关规定给予表彰、奖励。</w:t>
      </w:r>
    </w:p>
    <w:p>
      <w:pPr>
        <w:keepNext w:val="0"/>
        <w:keepLines w:val="0"/>
        <w:pageBreakBefore w:val="0"/>
        <w:widowControl w:val="0"/>
        <w:kinsoku/>
        <w:wordWrap/>
        <w:overflowPunct/>
        <w:topLinePunct w:val="0"/>
        <w:autoSpaceDE/>
        <w:autoSpaceDN/>
        <w:bidi w:val="0"/>
        <w:spacing w:before="156" w:beforeLines="50" w:after="156" w:afterLines="50" w:line="628" w:lineRule="exact"/>
        <w:ind w:left="0" w:leftChars="0" w:right="0" w:rightChars="0"/>
        <w:jc w:val="center"/>
        <w:textAlignment w:val="auto"/>
        <w:outlineLvl w:val="9"/>
        <w:rPr>
          <w:rFonts w:hAnsi="仿宋" w:eastAsia="黑体"/>
          <w:sz w:val="32"/>
          <w:szCs w:val="32"/>
        </w:rPr>
      </w:pPr>
      <w:r>
        <w:rPr>
          <w:rFonts w:hAnsi="仿宋" w:eastAsia="黑体"/>
          <w:sz w:val="32"/>
          <w:szCs w:val="32"/>
        </w:rPr>
        <w:t>第二章</w:t>
      </w:r>
      <w:r>
        <w:rPr>
          <w:rFonts w:eastAsia="黑体"/>
          <w:sz w:val="32"/>
          <w:szCs w:val="32"/>
        </w:rPr>
        <w:t xml:space="preserve">  </w:t>
      </w:r>
      <w:r>
        <w:rPr>
          <w:rFonts w:hint="eastAsia" w:hAnsi="仿宋" w:eastAsia="黑体"/>
          <w:sz w:val="32"/>
          <w:szCs w:val="32"/>
          <w:lang w:eastAsia="zh-CN"/>
        </w:rPr>
        <w:t>整合优化</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七</w:t>
      </w:r>
      <w:r>
        <w:rPr>
          <w:rFonts w:hAnsi="仿宋" w:eastAsia="黑体"/>
          <w:sz w:val="32"/>
          <w:szCs w:val="32"/>
        </w:rPr>
        <w:t>条</w:t>
      </w:r>
      <w:r>
        <w:rPr>
          <w:rFonts w:eastAsia="黑体"/>
          <w:sz w:val="32"/>
          <w:szCs w:val="32"/>
        </w:rPr>
        <w:t xml:space="preserve"> </w:t>
      </w:r>
      <w:r>
        <w:rPr>
          <w:rFonts w:hAnsi="仿宋"/>
          <w:sz w:val="32"/>
          <w:szCs w:val="32"/>
        </w:rPr>
        <w:t xml:space="preserve"> </w:t>
      </w:r>
      <w:r>
        <w:rPr>
          <w:rFonts w:hint="eastAsia" w:ascii="仿宋_GB2312" w:hAnsi="仿宋_GB2312" w:eastAsia="仿宋_GB2312" w:cs="仿宋_GB2312"/>
          <w:sz w:val="32"/>
          <w:szCs w:val="32"/>
          <w:lang w:val="en-US" w:eastAsia="zh-CN"/>
        </w:rPr>
        <w:t>县（市、区）人民政府应当整合辖区内政府举办的县级医院、乡镇卫生院（含撤并乡镇后保留的相关基层医疗卫生机构）和社区卫生服务中心，由县级医院牵头组建县级医疗集团。</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县（市、区）人民政府应当稳步推进乡村医疗卫生一体化建设，逐步将村卫生室纳入县级医疗集团管理。</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鼓励社会力量举办的医疗卫生机构参与县级医疗集团的医疗服务合作。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条</w:t>
      </w:r>
      <w:r>
        <w:rPr>
          <w:rFonts w:hint="eastAsia" w:hAnsi="仿宋"/>
          <w:sz w:val="32"/>
          <w:szCs w:val="32"/>
          <w:lang w:eastAsia="zh-CN"/>
        </w:rPr>
        <w:t xml:space="preserve">  </w:t>
      </w:r>
      <w:r>
        <w:rPr>
          <w:rFonts w:hint="eastAsia" w:ascii="仿宋_GB2312" w:hAnsi="仿宋_GB2312" w:eastAsia="仿宋_GB2312" w:cs="仿宋_GB2312"/>
          <w:sz w:val="32"/>
          <w:szCs w:val="32"/>
          <w:lang w:val="en-US" w:eastAsia="zh-CN"/>
        </w:rPr>
        <w:t>县级医疗集团应当依法办理事业单位法人登记。</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县级医疗集团管理的医疗卫生机构保留法人资格、原有名称。</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九</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县级医疗集团对所属医疗卫生机构的行政、人员、资金、绩效、业务、药械等实行统一管理，按照规定行使管理自主权。</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hAnsi="仿宋" w:eastAsia="黑体"/>
          <w:sz w:val="32"/>
          <w:szCs w:val="32"/>
          <w:lang w:val="en-US" w:eastAsia="zh-CN"/>
        </w:rPr>
        <w:t>第十条</w:t>
      </w:r>
      <w:r>
        <w:rPr>
          <w:rFonts w:hint="eastAsia" w:hAnsi="仿宋"/>
          <w:sz w:val="32"/>
          <w:szCs w:val="32"/>
          <w:lang w:val="en-US" w:eastAsia="zh-CN"/>
        </w:rPr>
        <w:t xml:space="preserve">  </w:t>
      </w:r>
      <w:r>
        <w:rPr>
          <w:rFonts w:hint="eastAsia" w:ascii="仿宋_GB2312" w:hAnsi="仿宋_GB2312" w:eastAsia="仿宋_GB2312" w:cs="仿宋_GB2312"/>
          <w:sz w:val="32"/>
          <w:szCs w:val="32"/>
          <w:lang w:val="en-US" w:eastAsia="zh-CN"/>
        </w:rPr>
        <w:t>县级医疗集团应当对接三级医院、专科联盟、远程医疗，提升县级医院服务能力；加强优质医疗资源下沉，强化基层医疗卫生机构服务能力建设，运用信息化手段，整体提升县域医疗卫生服务能力。</w:t>
      </w:r>
    </w:p>
    <w:p>
      <w:pPr>
        <w:keepNext w:val="0"/>
        <w:keepLines w:val="0"/>
        <w:pageBreakBefore w:val="0"/>
        <w:widowControl w:val="0"/>
        <w:tabs>
          <w:tab w:val="left" w:pos="3809"/>
        </w:tabs>
        <w:kinsoku/>
        <w:wordWrap/>
        <w:overflowPunct/>
        <w:topLinePunct w:val="0"/>
        <w:autoSpaceDE/>
        <w:autoSpaceDN/>
        <w:bidi w:val="0"/>
        <w:adjustRightInd/>
        <w:snapToGrid/>
        <w:spacing w:before="303" w:beforeLines="50" w:after="303" w:afterLines="50" w:line="628" w:lineRule="exact"/>
        <w:ind w:left="0" w:leftChars="0" w:right="0" w:rightChars="0" w:firstLine="0" w:firstLineChars="0"/>
        <w:jc w:val="center"/>
        <w:textAlignment w:val="auto"/>
        <w:outlineLvl w:val="9"/>
        <w:rPr>
          <w:rFonts w:hint="eastAsia" w:hAnsi="仿宋" w:eastAsia="黑体"/>
          <w:sz w:val="32"/>
          <w:szCs w:val="32"/>
          <w:lang w:eastAsia="zh-CN"/>
        </w:rPr>
      </w:pPr>
      <w:r>
        <w:rPr>
          <w:rFonts w:hint="eastAsia" w:hAnsi="仿宋" w:eastAsia="黑体"/>
          <w:sz w:val="32"/>
          <w:szCs w:val="32"/>
          <w:lang w:val="en-US" w:eastAsia="zh-CN"/>
        </w:rPr>
        <w:t xml:space="preserve">第三章 </w:t>
      </w:r>
      <w:r>
        <w:rPr>
          <w:rFonts w:hAnsi="仿宋" w:eastAsia="黑体"/>
          <w:sz w:val="32"/>
          <w:szCs w:val="32"/>
        </w:rPr>
        <w:t xml:space="preserve"> </w:t>
      </w:r>
      <w:r>
        <w:rPr>
          <w:rFonts w:hint="eastAsia" w:hAnsi="仿宋" w:eastAsia="黑体"/>
          <w:sz w:val="32"/>
          <w:szCs w:val="32"/>
          <w:lang w:eastAsia="zh-CN"/>
        </w:rPr>
        <w:t>服务提升</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b w:val="0"/>
          <w:bCs w:val="0"/>
          <w:sz w:val="32"/>
          <w:szCs w:val="32"/>
        </w:rPr>
        <w:t>第十</w:t>
      </w:r>
      <w:r>
        <w:rPr>
          <w:rFonts w:hint="eastAsia" w:hAnsi="仿宋" w:eastAsia="黑体"/>
          <w:b w:val="0"/>
          <w:bCs w:val="0"/>
          <w:sz w:val="32"/>
          <w:szCs w:val="32"/>
          <w:lang w:val="en-US" w:eastAsia="zh-CN"/>
        </w:rPr>
        <w:t>一</w:t>
      </w:r>
      <w:r>
        <w:rPr>
          <w:rFonts w:hAnsi="仿宋" w:eastAsia="黑体"/>
          <w:b w:val="0"/>
          <w:bCs w:val="0"/>
          <w:sz w:val="32"/>
          <w:szCs w:val="32"/>
        </w:rPr>
        <w:t>条</w:t>
      </w:r>
      <w:r>
        <w:rPr>
          <w:rFonts w:eastAsia="黑体"/>
          <w:b/>
          <w:bCs/>
          <w:sz w:val="32"/>
          <w:szCs w:val="32"/>
        </w:rPr>
        <w:t xml:space="preserve">  </w:t>
      </w:r>
      <w:r>
        <w:rPr>
          <w:rFonts w:hint="eastAsia" w:ascii="仿宋_GB2312" w:hAnsi="仿宋_GB2312" w:eastAsia="仿宋_GB2312" w:cs="仿宋_GB2312"/>
          <w:sz w:val="32"/>
          <w:szCs w:val="32"/>
          <w:lang w:val="en-US" w:eastAsia="zh-CN"/>
        </w:rPr>
        <w:t>县级医疗集团所属县级医院新招聘的医疗卫生人员，应当派驻到所属乡镇卫生院或者社区卫生服务中心工作至少一年。县级医疗集团所属乡镇卫生院新招聘的医疗卫生人员，应当派驻到村卫生室工作至少一年。</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县级医疗集团所属县级医院的骨干医疗卫生人员，应当每月到所属乡镇卫生院、社区卫生服务中心和村卫生室开展一次业务指导和技术培训。</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县级医疗集团所属县级医疗卫生人员参加坐诊巡诊、到基层医疗机构任职和指导培训等情况，应当作为职称评定、职务晋升的重要依据。</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常住人口较少、居住分散的行政村可以采取设立中心卫生室、与相邻行政村联合设置村卫生室等措施，为村民提供便捷的医疗卫生服务。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hAnsi="仿宋"/>
          <w:sz w:val="32"/>
          <w:szCs w:val="32"/>
          <w:lang w:eastAsia="zh-CN"/>
        </w:rPr>
        <w:t xml:space="preserve">  </w:t>
      </w:r>
      <w:r>
        <w:rPr>
          <w:rFonts w:hint="eastAsia" w:ascii="仿宋_GB2312" w:hAnsi="仿宋_GB2312" w:eastAsia="仿宋_GB2312" w:cs="仿宋_GB2312"/>
          <w:sz w:val="32"/>
          <w:szCs w:val="32"/>
          <w:lang w:val="en-US" w:eastAsia="zh-CN"/>
        </w:rPr>
        <w:t>城市三级医院应当采取派驻托管、组建医联体、人才共享、技术支持、远程医疗、组织培训等方式，帮助县级医疗集团提升医疗服务能力。</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省级专科联盟应当以分级诊疗病种诊治和县域医学中心、医疗救治中心为重点，采取专科共建、手术示教、业务培训等措施，带动县级医疗集团提升医疗服务能力。</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hAnsi="仿宋"/>
          <w:sz w:val="32"/>
          <w:szCs w:val="32"/>
          <w:lang w:val="en-US" w:eastAsia="zh-CN"/>
        </w:rPr>
        <w:t xml:space="preserve">  </w:t>
      </w:r>
      <w:r>
        <w:rPr>
          <w:rFonts w:hint="eastAsia" w:ascii="仿宋_GB2312" w:hAnsi="仿宋_GB2312" w:eastAsia="仿宋_GB2312" w:cs="仿宋_GB2312"/>
          <w:sz w:val="32"/>
          <w:szCs w:val="32"/>
          <w:lang w:val="en-US" w:eastAsia="zh-CN"/>
        </w:rPr>
        <w:t>县级医疗集团所属牵头医院重点承担急危重症患者的救治和疑难复杂疾病向上转诊服务，统筹管理医疗集团内疾病预防控制工作。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县级医疗集团所属县级中医医院统筹协调集团内中医药资源，重点负责提供中医疾病诊疗、治未病和特色康复服务，发挥中医药在公共卫生防控方面的独特作用。</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县级医疗集团所属县级妇幼保健院重点负责提供妇科、产科和儿科方面的医疗卫生服务。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所属乡镇卫生院、社区卫生服务中心等基层医疗卫生机构提供常见病、多发病诊疗服务，重点为诊断明确、病情稳定的慢性病患者、康复期患者提供接续性医疗卫生服务，并按要求落实基本公共卫生服务和重大公共卫生服务项目。</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村卫生室重点负责提供居民建立健康档案、慢性病管理、老年人以及妇幼保健管理、健康教育等基本公共卫生服务，开展农村常见病、多发病的一般诊治、急重病的应急处理和康复保健等基本医疗服务。</w:t>
      </w:r>
    </w:p>
    <w:p>
      <w:pPr>
        <w:keepNext w:val="0"/>
        <w:keepLines w:val="0"/>
        <w:pageBreakBefore w:val="0"/>
        <w:widowControl w:val="0"/>
        <w:kinsoku/>
        <w:wordWrap/>
        <w:overflowPunct/>
        <w:topLinePunct w:val="0"/>
        <w:autoSpaceDE/>
        <w:autoSpaceDN/>
        <w:bidi w:val="0"/>
        <w:spacing w:line="600" w:lineRule="exact"/>
        <w:ind w:left="0" w:leftChars="0" w:right="0" w:rightChars="0" w:firstLine="622" w:firstLineChars="200"/>
        <w:textAlignment w:val="auto"/>
        <w:outlineLvl w:val="9"/>
        <w:rPr>
          <w:rFonts w:hint="eastAsia" w:hAnsi="仿宋"/>
          <w:sz w:val="32"/>
          <w:szCs w:val="32"/>
          <w:lang w:val="en-US" w:eastAsia="zh-CN"/>
        </w:rPr>
      </w:pPr>
      <w:r>
        <w:rPr>
          <w:rFonts w:hint="eastAsia" w:ascii="黑体" w:hAnsi="黑体" w:eastAsia="黑体" w:cs="黑体"/>
          <w:sz w:val="32"/>
          <w:szCs w:val="32"/>
          <w:lang w:val="en-US" w:eastAsia="zh-CN"/>
        </w:rPr>
        <w:t>第十四条</w:t>
      </w:r>
      <w:r>
        <w:rPr>
          <w:rFonts w:hint="eastAsia" w:hAnsi="仿宋"/>
          <w:sz w:val="32"/>
          <w:szCs w:val="32"/>
          <w:lang w:val="en-US" w:eastAsia="zh-CN"/>
        </w:rPr>
        <w:t xml:space="preserve">  </w:t>
      </w:r>
      <w:r>
        <w:rPr>
          <w:rFonts w:hint="eastAsia" w:ascii="仿宋_GB2312" w:hAnsi="仿宋_GB2312" w:eastAsia="仿宋_GB2312" w:cs="仿宋_GB2312"/>
          <w:sz w:val="32"/>
          <w:szCs w:val="32"/>
          <w:lang w:val="en-US" w:eastAsia="zh-CN"/>
        </w:rPr>
        <w:t>县级医疗集团应当制定县级医疗集团内部县、乡两级疾病诊疗目录，完善县级医疗集团内部和县域向外转诊规范，建立双向转诊平台，开通双向转诊绿色通道，优化转诊服务流程，逐步实现县域内外有序转诊。</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第十</w:t>
      </w:r>
      <w:r>
        <w:rPr>
          <w:rFonts w:hint="eastAsia" w:hAnsi="仿宋" w:eastAsia="黑体"/>
          <w:sz w:val="32"/>
          <w:szCs w:val="32"/>
          <w:lang w:val="en-US" w:eastAsia="zh-CN"/>
        </w:rPr>
        <w:t>五</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医疗集团应当根据本县域的城乡疾病谱，加强对基层群众的健康教育，开展慢性病早期干预，指导群众养成健康、文明的生活方式；制定常见病、多发病防治指南，建立慢性病县乡村三级管理制度，提供筛查、确诊、转诊、随访的连续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县级医疗集团应当为基层群众提供婚前保健、孕产期保健等服务，促进生育健康，预防出生缺陷。</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第十</w:t>
      </w:r>
      <w:r>
        <w:rPr>
          <w:rFonts w:hint="eastAsia" w:hAnsi="仿宋" w:eastAsia="黑体"/>
          <w:sz w:val="32"/>
          <w:szCs w:val="32"/>
          <w:lang w:val="en-US" w:eastAsia="zh-CN"/>
        </w:rPr>
        <w:t>六</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医疗集团所属基层医疗卫生机构应当组建家庭医生签约服务团队，扩大签约服务覆盖面，细化签约服务内容，针对不同人群实行分类管理和精准服务。鼓励家庭医生签约服务团队开展家庭出诊、家庭病床、巡回医疗等居家医疗卫生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县级医疗集团应当组织县级医院专科医生加入家庭医生签约服务团队，提升家庭医生签约服务能力，为基层群众提供综合、连续、协同的基本医疗卫生服务和健康管理服务。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县级医疗集团在所属基层医疗卫生机构探索建立全专科联合门诊、住院病区，为基层群众提供全方位全周期的健康服务。鼓励县级医疗集团所属牵头医院将部分专家门诊、住院床位、检验检查号源下放到所属基层医疗卫生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第十</w:t>
      </w:r>
      <w:r>
        <w:rPr>
          <w:rFonts w:hint="eastAsia" w:hAnsi="仿宋" w:eastAsia="黑体"/>
          <w:sz w:val="32"/>
          <w:szCs w:val="32"/>
          <w:lang w:val="en-US" w:eastAsia="zh-CN"/>
        </w:rPr>
        <w:t>七</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县级医疗集团应当加强偏远乡镇卫生院急救服务体系建设，配备必要急救设施，提高偏远地区急救服务能力。</w:t>
      </w:r>
    </w:p>
    <w:p>
      <w:pPr>
        <w:keepNext w:val="0"/>
        <w:keepLines w:val="0"/>
        <w:pageBreakBefore w:val="0"/>
        <w:widowControl w:val="0"/>
        <w:kinsoku/>
        <w:wordWrap/>
        <w:overflowPunct/>
        <w:topLinePunct w:val="0"/>
        <w:autoSpaceDE/>
        <w:autoSpaceDN/>
        <w:bidi w:val="0"/>
        <w:spacing w:before="156" w:beforeLines="50" w:after="156" w:afterLines="50" w:line="628" w:lineRule="exact"/>
        <w:ind w:left="0" w:leftChars="0" w:right="0" w:rightChars="0"/>
        <w:jc w:val="center"/>
        <w:textAlignment w:val="auto"/>
        <w:outlineLvl w:val="9"/>
        <w:rPr>
          <w:rFonts w:hAnsi="仿宋" w:eastAsia="黑体"/>
          <w:sz w:val="32"/>
          <w:szCs w:val="32"/>
        </w:rPr>
      </w:pPr>
      <w:r>
        <w:rPr>
          <w:rFonts w:hAnsi="仿宋" w:eastAsia="黑体"/>
          <w:sz w:val="32"/>
          <w:szCs w:val="32"/>
        </w:rPr>
        <w:t>第</w:t>
      </w:r>
      <w:r>
        <w:rPr>
          <w:rFonts w:hint="eastAsia" w:hAnsi="仿宋" w:eastAsia="黑体"/>
          <w:sz w:val="32"/>
          <w:szCs w:val="32"/>
          <w:lang w:val="en-US" w:eastAsia="zh-CN"/>
        </w:rPr>
        <w:t>四</w:t>
      </w:r>
      <w:r>
        <w:rPr>
          <w:rFonts w:hAnsi="仿宋" w:eastAsia="黑体"/>
          <w:sz w:val="32"/>
          <w:szCs w:val="32"/>
        </w:rPr>
        <w:t>章</w:t>
      </w:r>
      <w:r>
        <w:rPr>
          <w:rFonts w:eastAsia="黑体"/>
          <w:sz w:val="32"/>
          <w:szCs w:val="32"/>
        </w:rPr>
        <w:t xml:space="preserve">  </w:t>
      </w:r>
      <w:r>
        <w:rPr>
          <w:rFonts w:hint="eastAsia" w:hAnsi="仿宋" w:eastAsia="黑体"/>
          <w:sz w:val="32"/>
          <w:szCs w:val="32"/>
          <w:lang w:eastAsia="zh-CN"/>
        </w:rPr>
        <w:t>支持</w:t>
      </w:r>
      <w:r>
        <w:rPr>
          <w:rFonts w:hAnsi="仿宋" w:eastAsia="黑体"/>
          <w:sz w:val="32"/>
          <w:szCs w:val="32"/>
        </w:rPr>
        <w:t>保障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十八</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县级以上人民政府应当保障县域医疗卫生财政投入，逐步提高政府卫生投入占卫生总费用的比重。新增政府卫生投入重点用于支持公共卫生、农村卫生、城市社区卫生、中医药服务和基本医疗保障。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县级以上人民政府应当按照区域卫生规划，加大对医疗卫生机构基本建设及大型设备购置、重点学科发展、人才培养、政策性亏损以及承担公共卫生任务和紧急救治、支农、支边公共服务等方面的财政投入。</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十九</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应当组织制定医疗卫生人员培养规划，建立适应行业特点和当地需求的医疗卫生人员培养机制和供需平衡机制，建立规模适宜、结构合理、分布均衡的县域医疗卫生队伍，加强全科医生的培养和使用。</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县级以上人民政府应当加强疾病预防控制机构基础设施和服务能力建设。</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县级疾病预防控制机构负责县域内疾病预防控制工作管理，并按照医防融合有关要求，做好县级医疗集团内部技术指导、培训、业务管理和评估等工作。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二十一</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市、区）人民政府应当整合医疗卫生资源和养老服务资源，保障和支持县级医疗集团提高医养结合服务能力，提供健康教育、预防保健、疾病诊治、康复护理、长期照护、安宁疗护等覆盖城乡、综合连续的老年健康服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鼓励乡镇卫生院、社区卫生服务中心、村卫生室与敬老院、老年日间照料中心等进行服务融合，为老年人群提供医养结合服务。</w:t>
      </w:r>
    </w:p>
    <w:p>
      <w:pPr>
        <w:keepNext w:val="0"/>
        <w:keepLines w:val="0"/>
        <w:pageBreakBefore w:val="0"/>
        <w:widowControl w:val="0"/>
        <w:kinsoku/>
        <w:wordWrap/>
        <w:overflowPunct/>
        <w:topLinePunct w:val="0"/>
        <w:autoSpaceDE/>
        <w:autoSpaceDN/>
        <w:bidi w:val="0"/>
        <w:adjustRightInd w:val="0"/>
        <w:snapToGrid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hAnsi="仿宋" w:eastAsia="黑体"/>
          <w:sz w:val="32"/>
          <w:szCs w:val="32"/>
          <w:lang w:val="en-US" w:eastAsia="zh-CN"/>
        </w:rPr>
        <w:t>第二十二条</w:t>
      </w:r>
      <w:r>
        <w:rPr>
          <w:rFonts w:hint="eastAsia" w:hAnsi="仿宋"/>
          <w:sz w:val="32"/>
          <w:szCs w:val="32"/>
          <w:lang w:val="en-US" w:eastAsia="zh-CN"/>
        </w:rPr>
        <w:t xml:space="preserve">  </w:t>
      </w:r>
      <w:r>
        <w:rPr>
          <w:rFonts w:hint="eastAsia" w:ascii="仿宋_GB2312" w:hAnsi="仿宋_GB2312" w:eastAsia="仿宋_GB2312" w:cs="仿宋_GB2312"/>
          <w:sz w:val="32"/>
          <w:szCs w:val="32"/>
          <w:lang w:val="en-US" w:eastAsia="zh-CN"/>
        </w:rPr>
        <w:t>县（市、区）人民政府在县域医疗卫生一体化过程中应当加强中医院和基层中医馆建设，为患者获得优质中医药服务提供保障。</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二十三</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省人民政府财政部门应当会同卫生健康主管部门，建立乡村医生收入和老年退养村医生活补助动态增长机制。</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县（市、区）人民政府应当结合当地实际，制定乡村医生收入标准。乡村医生收入由基本公共卫生服务补助、基本药物专项补助、岗位补助以及承担的其他医疗卫生服务相关补助、医疗收入等组成。</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县（市、区）人民政府人力资源和社会保障部门应当支持取得执业（助理）医师以上资格并与县级医疗集团签订合同的村卫生室人员，按照规定参加职工基本养老保险。</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县级以上人民政府财政部门应当逐步提高未与县级医疗集团签订合同的乡村医生参加城乡居民基本养老保险缴费的补助标准。</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二十四</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县级以上机构编制部门应当制定县域医疗卫生一体化相关编制政策。逐步实行县级医疗集团在编制总量内对人员编制的统一管理、使用和调配，人员编制调整情况报县（市、区）机构编制部门备案。</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二十五</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人力资源和社会保障部门应当建立完善适应医疗卫生行业特点的人事制度和薪酬制度。医疗卫生机构可以突破现行事业单位工资调控水平，将医疗服务收入在扣除成本并按照规定提取各项基金后主要用于人员奖励。</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人力资源和社会保障部门应当会同财政、卫生健康部门制定鼓励医疗卫生人员到基层医疗卫生机构工作的优惠政策。在乡镇卫生院工作的医疗卫生人员，其薪酬待遇应当不低于在县级医疗卫生机构中工作的同类人员。</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二十六</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省、设区的市人民政府医疗保障主管部门应当完善确保医疗保障基金安全、实现医疗保障基金在公立医院使用效率最大化的医疗保障基金支付方式和结算管理制度。建立按缴费人口总额预付、结余留用、合理超支分担机制，将核定的县乡村三级医疗保障基金，采取总额预算、按月预拨、年终结算的方式，由县（市、区）人民政府医疗保障主管部门统一拨付给县级医疗集团，并由县级医疗集团按比例分配。</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省人民政府医疗保障主管部门应当建立以成本和收入价格为基础的医疗服务价格动态调整机制，理顺医疗服务比价关系。</w:t>
      </w:r>
    </w:p>
    <w:p>
      <w:pPr>
        <w:keepNext w:val="0"/>
        <w:keepLines w:val="0"/>
        <w:pageBreakBefore w:val="0"/>
        <w:widowControl w:val="0"/>
        <w:kinsoku/>
        <w:wordWrap/>
        <w:overflowPunct/>
        <w:topLinePunct w:val="0"/>
        <w:autoSpaceDE/>
        <w:autoSpaceDN/>
        <w:bidi w:val="0"/>
        <w:adjustRightInd/>
        <w:snapToGrid/>
        <w:spacing w:before="303" w:beforeLines="50" w:after="303" w:afterLines="50" w:line="628" w:lineRule="exact"/>
        <w:ind w:left="0" w:leftChars="0" w:right="0" w:rightChars="0" w:firstLine="0" w:firstLineChars="0"/>
        <w:jc w:val="center"/>
        <w:textAlignment w:val="auto"/>
        <w:outlineLvl w:val="9"/>
        <w:rPr>
          <w:rFonts w:hint="eastAsia" w:eastAsia="黑体"/>
          <w:color w:val="0000FF"/>
          <w:sz w:val="32"/>
          <w:szCs w:val="32"/>
          <w:u w:val="none" w:color="auto"/>
          <w:lang w:eastAsia="zh-CN"/>
        </w:rPr>
      </w:pPr>
      <w:r>
        <w:rPr>
          <w:rFonts w:hint="eastAsia" w:eastAsia="黑体"/>
          <w:sz w:val="32"/>
          <w:szCs w:val="32"/>
          <w:lang w:eastAsia="zh-CN"/>
        </w:rPr>
        <w:t>第</w:t>
      </w:r>
      <w:r>
        <w:rPr>
          <w:rFonts w:hint="eastAsia" w:eastAsia="黑体"/>
          <w:sz w:val="32"/>
          <w:szCs w:val="32"/>
          <w:lang w:val="en-US" w:eastAsia="zh-CN"/>
        </w:rPr>
        <w:t>五</w:t>
      </w:r>
      <w:r>
        <w:rPr>
          <w:rFonts w:hint="eastAsia" w:eastAsia="黑体"/>
          <w:sz w:val="32"/>
          <w:szCs w:val="32"/>
          <w:lang w:eastAsia="zh-CN"/>
        </w:rPr>
        <w:t>章</w:t>
      </w:r>
      <w:r>
        <w:rPr>
          <w:rFonts w:hint="eastAsia" w:eastAsia="黑体"/>
          <w:sz w:val="32"/>
          <w:szCs w:val="32"/>
          <w:lang w:val="en-US" w:eastAsia="zh-CN"/>
        </w:rPr>
        <w:t xml:space="preserve">  </w:t>
      </w:r>
      <w:r>
        <w:rPr>
          <w:rFonts w:hint="eastAsia" w:eastAsia="黑体"/>
          <w:sz w:val="32"/>
          <w:szCs w:val="32"/>
          <w:lang w:eastAsia="zh-CN"/>
        </w:rPr>
        <w:t>监督管理</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二十七</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市、区）人民政府卫生健康主管部门负责监督管理县级医疗集团公益性、医疗质量安全、财务运行等事项，定期对县级医疗集团的医疗卫生服务能力提升、优质医疗卫生资源下沉、公共卫生任务落实等情况进行绩效考核。绩效考核的结果，作为县级医疗集团领导班子选聘、领导班子薪酬、医疗保障基金支付、等级评审、评优评先、绩效工资总量核定等的重要依据。</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二十八</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县级以上人民政府审计部门应当依法对县域医疗卫生一体化中财政投入、医疗保障基金分配管理使用等情况定期进行审计。</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二十九</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县级以上人民政府及其有关部门、政府举办的医疗卫生机构中从事管理的人员在县域医疗卫生一体化工作中有下列情形之一的，依法给予处分；构成犯罪的，依法追究刑事责任：</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（一）抵制、阻挠、延误改革或者拒不执行改革决定的；</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（二）牟取私利的；</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（三）与他人恶意串通，损害国家利益、公共利益或者他人合法权益的；</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（四）其他滥用职权、玩忽职守、徇私舞弊的。</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28" w:lineRule="exact"/>
        <w:ind w:left="0" w:leftChars="0" w:right="0" w:rightChars="0" w:firstLine="0" w:firstLineChars="0"/>
        <w:jc w:val="center"/>
        <w:textAlignment w:val="auto"/>
        <w:outlineLvl w:val="9"/>
        <w:rPr>
          <w:rFonts w:hAnsi="仿宋" w:eastAsia="黑体"/>
          <w:sz w:val="32"/>
          <w:szCs w:val="32"/>
        </w:rPr>
      </w:pPr>
      <w:r>
        <w:rPr>
          <w:rFonts w:hint="eastAsia" w:eastAsia="黑体"/>
          <w:sz w:val="32"/>
          <w:szCs w:val="32"/>
          <w:lang w:eastAsia="zh-CN"/>
        </w:rPr>
        <w:t>第</w:t>
      </w:r>
      <w:r>
        <w:rPr>
          <w:rFonts w:hint="eastAsia" w:eastAsia="黑体"/>
          <w:sz w:val="32"/>
          <w:szCs w:val="32"/>
          <w:lang w:val="en-US" w:eastAsia="zh-CN"/>
        </w:rPr>
        <w:t>六</w:t>
      </w:r>
      <w:r>
        <w:rPr>
          <w:rFonts w:hint="eastAsia" w:eastAsia="黑体"/>
          <w:sz w:val="32"/>
          <w:szCs w:val="32"/>
          <w:lang w:eastAsia="zh-CN"/>
        </w:rPr>
        <w:t>章</w:t>
      </w:r>
      <w:r>
        <w:rPr>
          <w:rFonts w:hint="eastAsia" w:eastAsia="黑体"/>
          <w:sz w:val="32"/>
          <w:szCs w:val="32"/>
          <w:lang w:val="en-US" w:eastAsia="zh-CN"/>
        </w:rPr>
        <w:t xml:space="preserve">  </w:t>
      </w:r>
      <w:r>
        <w:rPr>
          <w:rFonts w:hAnsi="仿宋" w:eastAsia="黑体"/>
          <w:sz w:val="32"/>
          <w:szCs w:val="32"/>
        </w:rPr>
        <w:t>附</w:t>
      </w:r>
      <w:r>
        <w:rPr>
          <w:rFonts w:hint="eastAsia" w:hAnsi="仿宋" w:eastAsia="黑体"/>
          <w:sz w:val="32"/>
          <w:szCs w:val="32"/>
          <w:lang w:val="en-US" w:eastAsia="zh-CN"/>
        </w:rPr>
        <w:t xml:space="preserve">  </w:t>
      </w:r>
      <w:r>
        <w:rPr>
          <w:rFonts w:hAnsi="仿宋" w:eastAsia="黑体"/>
          <w:sz w:val="32"/>
          <w:szCs w:val="32"/>
        </w:rPr>
        <w:t>则</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三十</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本办法所称县域医疗卫生一体化，是指通过组建县级医疗集团，整合优化县域医疗卫生资源，推进县乡村一体管理，建立科学合理分级诊疗制度，提高县域医疗卫生服务能力的综合改革。</w:t>
      </w:r>
    </w:p>
    <w:p>
      <w:pPr>
        <w:keepNext w:val="0"/>
        <w:keepLines w:val="0"/>
        <w:pageBreakBefore w:val="0"/>
        <w:widowControl w:val="0"/>
        <w:kinsoku/>
        <w:wordWrap/>
        <w:overflowPunct/>
        <w:topLinePunct w:val="0"/>
        <w:autoSpaceDE/>
        <w:autoSpaceDN/>
        <w:bidi w:val="0"/>
        <w:spacing w:line="628" w:lineRule="exact"/>
        <w:ind w:left="0" w:leftChars="0" w:right="0" w:rightChars="0" w:firstLine="622" w:firstLineChars="200"/>
        <w:textAlignment w:val="auto"/>
        <w:outlineLvl w:val="9"/>
        <w:rPr>
          <w:rFonts w:hint="eastAsia" w:ascii="仿宋_GB2312" w:hAnsi="仿宋_GB2312" w:eastAsia="仿宋_GB2312" w:cs="仿宋_GB2312"/>
          <w:sz w:val="32"/>
          <w:szCs w:val="32"/>
          <w:lang w:val="en-US" w:eastAsia="zh-CN"/>
        </w:rPr>
      </w:pPr>
      <w:r>
        <w:rPr>
          <w:rFonts w:hAnsi="仿宋" w:eastAsia="黑体"/>
          <w:sz w:val="32"/>
          <w:szCs w:val="32"/>
        </w:rPr>
        <w:t>第</w:t>
      </w:r>
      <w:r>
        <w:rPr>
          <w:rFonts w:hint="eastAsia" w:hAnsi="仿宋" w:eastAsia="黑体"/>
          <w:sz w:val="32"/>
          <w:szCs w:val="32"/>
          <w:lang w:val="en-US" w:eastAsia="zh-CN"/>
        </w:rPr>
        <w:t>三十一</w:t>
      </w:r>
      <w:r>
        <w:rPr>
          <w:rFonts w:hAnsi="仿宋" w:eastAsia="黑体"/>
          <w:sz w:val="32"/>
          <w:szCs w:val="32"/>
        </w:rPr>
        <w:t>条</w:t>
      </w:r>
      <w:r>
        <w:rPr>
          <w:rFonts w:eastAsia="黑体"/>
          <w:sz w:val="32"/>
          <w:szCs w:val="32"/>
        </w:rPr>
        <w:t xml:space="preserve">  </w:t>
      </w:r>
      <w:r>
        <w:rPr>
          <w:rFonts w:hint="eastAsia" w:ascii="仿宋_GB2312" w:hAnsi="仿宋_GB2312" w:eastAsia="仿宋_GB2312" w:cs="仿宋_GB2312"/>
          <w:sz w:val="32"/>
          <w:szCs w:val="32"/>
          <w:lang w:val="en-US" w:eastAsia="zh-CN"/>
        </w:rPr>
        <w:t>本办法自2021年1月1日起施行。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814" w:right="1474" w:bottom="1814" w:left="1588" w:header="851" w:footer="1588" w:gutter="0"/>
      <w:cols w:space="720" w:num="1"/>
      <w:docGrid w:type="linesAndChars" w:linePitch="6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55" w:wrap="around" w:vAnchor="text" w:hAnchor="page" w:x="9053" w:yAlign="top"/>
      <w:rPr>
        <w:rStyle w:val="9"/>
        <w:rFonts w:ascii="宋体" w:hAnsi="宋体" w:eastAsia="宋体"/>
        <w:sz w:val="28"/>
        <w:szCs w:val="28"/>
      </w:rPr>
    </w:pPr>
    <w:r>
      <w:rPr>
        <w:rStyle w:val="9"/>
        <w:rFonts w:hint="eastAsia" w:ascii="宋体" w:hAnsi="宋体" w:eastAsia="宋体"/>
        <w:sz w:val="28"/>
        <w:szCs w:val="28"/>
      </w:rPr>
      <w:t>—</w:t>
    </w:r>
    <w:r>
      <w:rPr>
        <w:rFonts w:eastAsia="宋体"/>
        <w:sz w:val="28"/>
        <w:szCs w:val="28"/>
      </w:rPr>
      <w:fldChar w:fldCharType="begin"/>
    </w:r>
    <w:r>
      <w:rPr>
        <w:rStyle w:val="9"/>
        <w:rFonts w:eastAsia="宋体"/>
        <w:sz w:val="28"/>
        <w:szCs w:val="28"/>
      </w:rPr>
      <w:instrText xml:space="preserve">PAGE  </w:instrText>
    </w:r>
    <w:r>
      <w:rPr>
        <w:rFonts w:eastAsia="宋体"/>
        <w:sz w:val="28"/>
        <w:szCs w:val="28"/>
      </w:rPr>
      <w:fldChar w:fldCharType="separate"/>
    </w:r>
    <w:r>
      <w:rPr>
        <w:rStyle w:val="9"/>
        <w:rFonts w:eastAsia="宋体"/>
        <w:sz w:val="28"/>
        <w:szCs w:val="28"/>
      </w:rPr>
      <w:t>1</w:t>
    </w:r>
    <w:r>
      <w:rPr>
        <w:rFonts w:eastAsia="宋体"/>
        <w:sz w:val="28"/>
        <w:szCs w:val="28"/>
      </w:rPr>
      <w:fldChar w:fldCharType="end"/>
    </w:r>
    <w:r>
      <w:rPr>
        <w:rStyle w:val="9"/>
        <w:rFonts w:hint="eastAsia" w:ascii="宋体" w:hAnsi="宋体" w:eastAsia="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2177" w:wrap="around" w:vAnchor="text" w:hAnchor="margin" w:xAlign="outside" w:yAlign="top"/>
      <w:ind w:firstLine="280" w:firstLineChars="100"/>
      <w:rPr>
        <w:rStyle w:val="9"/>
        <w:rFonts w:ascii="宋体" w:hAnsi="宋体" w:eastAsia="宋体"/>
        <w:sz w:val="28"/>
        <w:szCs w:val="28"/>
      </w:rPr>
    </w:pPr>
    <w:r>
      <w:rPr>
        <w:rStyle w:val="9"/>
        <w:rFonts w:hint="eastAsia" w:ascii="宋体" w:hAnsi="宋体" w:eastAsia="宋体"/>
        <w:sz w:val="28"/>
        <w:szCs w:val="28"/>
      </w:rPr>
      <w:t>—</w:t>
    </w:r>
    <w:r>
      <w:rPr>
        <w:rFonts w:eastAsia="宋体"/>
        <w:sz w:val="28"/>
        <w:szCs w:val="28"/>
      </w:rPr>
      <w:fldChar w:fldCharType="begin"/>
    </w:r>
    <w:r>
      <w:rPr>
        <w:rStyle w:val="9"/>
        <w:rFonts w:eastAsia="宋体"/>
        <w:sz w:val="28"/>
        <w:szCs w:val="28"/>
      </w:rPr>
      <w:instrText xml:space="preserve">PAGE  </w:instrText>
    </w:r>
    <w:r>
      <w:rPr>
        <w:rFonts w:eastAsia="宋体"/>
        <w:sz w:val="28"/>
        <w:szCs w:val="28"/>
      </w:rPr>
      <w:fldChar w:fldCharType="separate"/>
    </w:r>
    <w:r>
      <w:rPr>
        <w:rStyle w:val="9"/>
        <w:rFonts w:eastAsia="宋体"/>
        <w:sz w:val="28"/>
        <w:szCs w:val="28"/>
      </w:rPr>
      <w:t>2</w:t>
    </w:r>
    <w:r>
      <w:rPr>
        <w:rFonts w:eastAsia="宋体"/>
        <w:sz w:val="28"/>
        <w:szCs w:val="28"/>
      </w:rPr>
      <w:fldChar w:fldCharType="end"/>
    </w:r>
    <w:r>
      <w:rPr>
        <w:rStyle w:val="9"/>
        <w:rFonts w:hint="eastAsia" w:ascii="宋体" w:hAnsi="宋体" w:eastAsia="宋体"/>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311"/>
  <w:drawingGridVerticalSpacing w:val="300"/>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3669"/>
    <w:rsid w:val="0032584F"/>
    <w:rsid w:val="00DC6959"/>
    <w:rsid w:val="01FD469F"/>
    <w:rsid w:val="02141194"/>
    <w:rsid w:val="02707990"/>
    <w:rsid w:val="02CA3664"/>
    <w:rsid w:val="06AF7A5B"/>
    <w:rsid w:val="06CA6341"/>
    <w:rsid w:val="06E87AE7"/>
    <w:rsid w:val="07265258"/>
    <w:rsid w:val="07CF2781"/>
    <w:rsid w:val="07F5081B"/>
    <w:rsid w:val="08B928C3"/>
    <w:rsid w:val="09170DC4"/>
    <w:rsid w:val="0AF00751"/>
    <w:rsid w:val="0C81279D"/>
    <w:rsid w:val="0D2E123B"/>
    <w:rsid w:val="0DB25B59"/>
    <w:rsid w:val="0E2579C3"/>
    <w:rsid w:val="0E430456"/>
    <w:rsid w:val="0E511B0C"/>
    <w:rsid w:val="0EA70C8C"/>
    <w:rsid w:val="0EEA5027"/>
    <w:rsid w:val="0F1F2472"/>
    <w:rsid w:val="0FBA1BE4"/>
    <w:rsid w:val="10266152"/>
    <w:rsid w:val="104334B8"/>
    <w:rsid w:val="10625BFB"/>
    <w:rsid w:val="1216239D"/>
    <w:rsid w:val="132D42E1"/>
    <w:rsid w:val="13673755"/>
    <w:rsid w:val="144D34AF"/>
    <w:rsid w:val="147B769C"/>
    <w:rsid w:val="148A55E0"/>
    <w:rsid w:val="166A4110"/>
    <w:rsid w:val="167C0DF1"/>
    <w:rsid w:val="1691630B"/>
    <w:rsid w:val="16FE7847"/>
    <w:rsid w:val="17B1237C"/>
    <w:rsid w:val="17B9678D"/>
    <w:rsid w:val="18856DA9"/>
    <w:rsid w:val="18AC3E54"/>
    <w:rsid w:val="1936765B"/>
    <w:rsid w:val="19C66C49"/>
    <w:rsid w:val="1A3F18A8"/>
    <w:rsid w:val="1A677AF6"/>
    <w:rsid w:val="1ACA1979"/>
    <w:rsid w:val="1ACC7A6D"/>
    <w:rsid w:val="1B505830"/>
    <w:rsid w:val="1B715C7E"/>
    <w:rsid w:val="1D6E4FCB"/>
    <w:rsid w:val="1D7621EC"/>
    <w:rsid w:val="1D9F6B95"/>
    <w:rsid w:val="1E133385"/>
    <w:rsid w:val="1E432C25"/>
    <w:rsid w:val="1E5B20DE"/>
    <w:rsid w:val="1ECD5D19"/>
    <w:rsid w:val="1F132B23"/>
    <w:rsid w:val="1F1611FF"/>
    <w:rsid w:val="1FFD521D"/>
    <w:rsid w:val="203B2D6D"/>
    <w:rsid w:val="207358D0"/>
    <w:rsid w:val="20942F2F"/>
    <w:rsid w:val="20DC1438"/>
    <w:rsid w:val="20E71CFC"/>
    <w:rsid w:val="210A4F95"/>
    <w:rsid w:val="23B33E12"/>
    <w:rsid w:val="242202E8"/>
    <w:rsid w:val="24E4419F"/>
    <w:rsid w:val="26427F66"/>
    <w:rsid w:val="26D207A5"/>
    <w:rsid w:val="271C51A7"/>
    <w:rsid w:val="27BE019C"/>
    <w:rsid w:val="27E95900"/>
    <w:rsid w:val="289B1DC9"/>
    <w:rsid w:val="292051FB"/>
    <w:rsid w:val="2A1A5420"/>
    <w:rsid w:val="2AEB4A69"/>
    <w:rsid w:val="2B3D4D7E"/>
    <w:rsid w:val="2C751A27"/>
    <w:rsid w:val="2C9763FF"/>
    <w:rsid w:val="2CB074BD"/>
    <w:rsid w:val="2CC9422D"/>
    <w:rsid w:val="2CCA108C"/>
    <w:rsid w:val="2D2212F1"/>
    <w:rsid w:val="2E944B5A"/>
    <w:rsid w:val="2EA94333"/>
    <w:rsid w:val="2EBE4996"/>
    <w:rsid w:val="2F025951"/>
    <w:rsid w:val="2F0B5A4F"/>
    <w:rsid w:val="2F47788F"/>
    <w:rsid w:val="30684D7B"/>
    <w:rsid w:val="314114E2"/>
    <w:rsid w:val="316C4736"/>
    <w:rsid w:val="31834483"/>
    <w:rsid w:val="3209765E"/>
    <w:rsid w:val="330E2913"/>
    <w:rsid w:val="33676AB0"/>
    <w:rsid w:val="33D00590"/>
    <w:rsid w:val="33F85ED1"/>
    <w:rsid w:val="344F6588"/>
    <w:rsid w:val="353E093B"/>
    <w:rsid w:val="35DE27EF"/>
    <w:rsid w:val="36C54B7C"/>
    <w:rsid w:val="37B01042"/>
    <w:rsid w:val="381F3CD6"/>
    <w:rsid w:val="385108BE"/>
    <w:rsid w:val="391B1866"/>
    <w:rsid w:val="395E5463"/>
    <w:rsid w:val="39B01B45"/>
    <w:rsid w:val="39F61C76"/>
    <w:rsid w:val="3BAB1783"/>
    <w:rsid w:val="3C9D07B6"/>
    <w:rsid w:val="3CB77C2F"/>
    <w:rsid w:val="3CFC6207"/>
    <w:rsid w:val="3D0914AC"/>
    <w:rsid w:val="3D6205B0"/>
    <w:rsid w:val="3DDD5565"/>
    <w:rsid w:val="3E6F112C"/>
    <w:rsid w:val="3ED729D3"/>
    <w:rsid w:val="3F0B1E58"/>
    <w:rsid w:val="3F460618"/>
    <w:rsid w:val="3F5311AE"/>
    <w:rsid w:val="3F9B6A67"/>
    <w:rsid w:val="3FAF42F8"/>
    <w:rsid w:val="3FD762EA"/>
    <w:rsid w:val="3FFA110C"/>
    <w:rsid w:val="405349CC"/>
    <w:rsid w:val="412345B0"/>
    <w:rsid w:val="41487A27"/>
    <w:rsid w:val="417E4D9E"/>
    <w:rsid w:val="41AD0F3C"/>
    <w:rsid w:val="41FD31D8"/>
    <w:rsid w:val="421C61CC"/>
    <w:rsid w:val="421F4207"/>
    <w:rsid w:val="422F0A30"/>
    <w:rsid w:val="42317A3B"/>
    <w:rsid w:val="42423E80"/>
    <w:rsid w:val="42A04D29"/>
    <w:rsid w:val="42ED4D3B"/>
    <w:rsid w:val="430C76AB"/>
    <w:rsid w:val="437D542B"/>
    <w:rsid w:val="442333EC"/>
    <w:rsid w:val="44715946"/>
    <w:rsid w:val="44E42612"/>
    <w:rsid w:val="460102D9"/>
    <w:rsid w:val="469027C8"/>
    <w:rsid w:val="474B06F6"/>
    <w:rsid w:val="47625B16"/>
    <w:rsid w:val="48C35FF0"/>
    <w:rsid w:val="48CA33FC"/>
    <w:rsid w:val="48FF6987"/>
    <w:rsid w:val="49BA273F"/>
    <w:rsid w:val="49CA5C02"/>
    <w:rsid w:val="4B21259E"/>
    <w:rsid w:val="4B8B7014"/>
    <w:rsid w:val="4B8F086A"/>
    <w:rsid w:val="4B9C47CA"/>
    <w:rsid w:val="4C2B2674"/>
    <w:rsid w:val="4E0D5EF1"/>
    <w:rsid w:val="4E2B6C1F"/>
    <w:rsid w:val="4ED75B25"/>
    <w:rsid w:val="4EE44D32"/>
    <w:rsid w:val="4FBE1360"/>
    <w:rsid w:val="4FE62BBF"/>
    <w:rsid w:val="50614921"/>
    <w:rsid w:val="506D21E8"/>
    <w:rsid w:val="509B2AC4"/>
    <w:rsid w:val="50B13F8B"/>
    <w:rsid w:val="51F96A8C"/>
    <w:rsid w:val="52D1221A"/>
    <w:rsid w:val="53707105"/>
    <w:rsid w:val="539B63A5"/>
    <w:rsid w:val="5503673E"/>
    <w:rsid w:val="57925A44"/>
    <w:rsid w:val="57F44EEA"/>
    <w:rsid w:val="58354FCA"/>
    <w:rsid w:val="590B1F07"/>
    <w:rsid w:val="59405A5B"/>
    <w:rsid w:val="594B2C7E"/>
    <w:rsid w:val="59DD15C8"/>
    <w:rsid w:val="5AE30A0B"/>
    <w:rsid w:val="5AFA25A4"/>
    <w:rsid w:val="5B45366E"/>
    <w:rsid w:val="5B654F81"/>
    <w:rsid w:val="5BA97B01"/>
    <w:rsid w:val="5DEC6E13"/>
    <w:rsid w:val="5EEE3CED"/>
    <w:rsid w:val="5F1929DA"/>
    <w:rsid w:val="5FC230CC"/>
    <w:rsid w:val="601877FA"/>
    <w:rsid w:val="602F0CA9"/>
    <w:rsid w:val="60515592"/>
    <w:rsid w:val="60C33CC5"/>
    <w:rsid w:val="612A3BD4"/>
    <w:rsid w:val="61AF685A"/>
    <w:rsid w:val="61E07999"/>
    <w:rsid w:val="62373345"/>
    <w:rsid w:val="62974F2A"/>
    <w:rsid w:val="62B8337E"/>
    <w:rsid w:val="634B790F"/>
    <w:rsid w:val="63811BEA"/>
    <w:rsid w:val="63BC7C92"/>
    <w:rsid w:val="63FF1FF0"/>
    <w:rsid w:val="64376734"/>
    <w:rsid w:val="649C3288"/>
    <w:rsid w:val="64D34F59"/>
    <w:rsid w:val="659C21E2"/>
    <w:rsid w:val="667B1DDA"/>
    <w:rsid w:val="6852047F"/>
    <w:rsid w:val="68664352"/>
    <w:rsid w:val="68CC58FB"/>
    <w:rsid w:val="68CE688E"/>
    <w:rsid w:val="695E1E7B"/>
    <w:rsid w:val="69EF6F74"/>
    <w:rsid w:val="69F82E6A"/>
    <w:rsid w:val="6A40524A"/>
    <w:rsid w:val="6B306610"/>
    <w:rsid w:val="6BC3774A"/>
    <w:rsid w:val="6C8476D1"/>
    <w:rsid w:val="6D832D3A"/>
    <w:rsid w:val="6DDC28EB"/>
    <w:rsid w:val="6E25062C"/>
    <w:rsid w:val="6E383FEB"/>
    <w:rsid w:val="6E68536F"/>
    <w:rsid w:val="6E7503A4"/>
    <w:rsid w:val="6E7D7FFC"/>
    <w:rsid w:val="70161BA5"/>
    <w:rsid w:val="70557505"/>
    <w:rsid w:val="724D2CE4"/>
    <w:rsid w:val="726B43CE"/>
    <w:rsid w:val="72D92384"/>
    <w:rsid w:val="73217808"/>
    <w:rsid w:val="73EB1CC1"/>
    <w:rsid w:val="745862ED"/>
    <w:rsid w:val="755E5A03"/>
    <w:rsid w:val="759C0D50"/>
    <w:rsid w:val="76110704"/>
    <w:rsid w:val="76C114D9"/>
    <w:rsid w:val="76DD31D4"/>
    <w:rsid w:val="76EC2FBA"/>
    <w:rsid w:val="77062C53"/>
    <w:rsid w:val="772F1B17"/>
    <w:rsid w:val="77350B4A"/>
    <w:rsid w:val="77850FA2"/>
    <w:rsid w:val="77F57394"/>
    <w:rsid w:val="77FB0C4D"/>
    <w:rsid w:val="78024230"/>
    <w:rsid w:val="78B35F2E"/>
    <w:rsid w:val="78FB6A25"/>
    <w:rsid w:val="791D05B4"/>
    <w:rsid w:val="795F40FB"/>
    <w:rsid w:val="79771262"/>
    <w:rsid w:val="7A807CC3"/>
    <w:rsid w:val="7AEA3CD5"/>
    <w:rsid w:val="7B5C2621"/>
    <w:rsid w:val="7B907E74"/>
    <w:rsid w:val="7CAB6A9F"/>
    <w:rsid w:val="7D1A2C9A"/>
    <w:rsid w:val="7D2B5725"/>
    <w:rsid w:val="7D901BD5"/>
    <w:rsid w:val="7DEB2EDE"/>
    <w:rsid w:val="7E3B0C1A"/>
    <w:rsid w:val="7EC13CD1"/>
    <w:rsid w:val="7F063E1A"/>
    <w:rsid w:val="7F6E46BC"/>
    <w:rsid w:val="7FED2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 w:cs="Times New Roman"/>
      <w:kern w:val="2"/>
      <w:sz w:val="32"/>
      <w:szCs w:val="24"/>
      <w:lang w:val="en-US" w:eastAsia="zh-CN"/>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uiPriority w:val="0"/>
    <w:rPr>
      <w:rFonts w:eastAsia="仿宋"/>
      <w:sz w:val="18"/>
      <w:szCs w:val="18"/>
    </w:rPr>
  </w:style>
  <w:style w:type="paragraph" w:styleId="3">
    <w:name w:val="footer"/>
    <w:basedOn w:val="1"/>
    <w:qFormat/>
    <w:uiPriority w:val="0"/>
    <w:pPr>
      <w:tabs>
        <w:tab w:val="center" w:pos="4153"/>
        <w:tab w:val="right" w:pos="8306"/>
      </w:tabs>
      <w:snapToGrid w:val="0"/>
      <w:spacing w:line="500" w:lineRule="exact"/>
      <w:jc w:val="left"/>
    </w:pPr>
    <w:rPr>
      <w:rFonts w:eastAsia="方正仿宋_GBK"/>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500" w:lineRule="exact"/>
      <w:jc w:val="center"/>
    </w:pPr>
    <w:rPr>
      <w:rFonts w:eastAsia="方正仿宋_GBK"/>
      <w:sz w:val="18"/>
      <w:szCs w:val="18"/>
    </w:rPr>
  </w:style>
  <w:style w:type="paragraph" w:customStyle="1" w:styleId="7">
    <w:name w:val="List Paragraph"/>
    <w:basedOn w:val="1"/>
    <w:qFormat/>
    <w:uiPriority w:val="0"/>
    <w:pPr>
      <w:ind w:firstLine="420" w:firstLineChars="200"/>
    </w:pPr>
  </w:style>
  <w:style w:type="character" w:customStyle="1" w:styleId="8">
    <w:name w:val="批注框文本 Char"/>
    <w:basedOn w:val="6"/>
    <w:link w:val="2"/>
    <w:uiPriority w:val="0"/>
    <w:rPr>
      <w:rFonts w:eastAsia="仿宋"/>
      <w:sz w:val="18"/>
      <w:szCs w:val="18"/>
    </w:rPr>
  </w:style>
  <w:style w:type="character" w:customStyle="1" w:styleId="9">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3547;\&#21439;&#22495;&#21307;&#30103;&#19968;&#20307;&#21270;\&#20844;&#25991;&#27169;&#2649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Company>微软中国</Company>
  <Pages>11</Pages>
  <Words>758</Words>
  <Characters>4325</Characters>
  <Lines>36</Lines>
  <Paragraphs>10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2020-04-30T09:34:00Z</dcterms:created>
  <dc:creator>郑涛</dc:creator>
  <cp:lastModifiedBy>胖胖的宝儿</cp:lastModifiedBy>
  <cp:lastPrinted>2020-10-16T03:14:00Z</cp:lastPrinted>
  <dcterms:modified xsi:type="dcterms:W3CDTF">2020-10-16T10:43:35Z</dcterms:modified>
  <dc:title>幻海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